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1"/>
    <w:p>
      <w:pPr>
        <w:pStyle w:val="Heading1"/>
      </w:pPr>
      <w:r>
        <w:t xml:space="preserve">Homiletics Analysis: Psalms 61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61 is a compact prayer-hymn of David, moving from personal distress to confident petition to royal intercession and concluding vow. The psalm opens with a cry from geographical and emotional distance —</w:t>
      </w:r>
      <w:r>
        <w:t xml:space="preserve"> </w:t>
      </w:r>
      <w:r>
        <w:t xml:space="preserve">“from the end of the earth I cry to you when my heart is faint”</w:t>
      </w:r>
      <w:r>
        <w:t xml:space="preserve"> </w:t>
      </w:r>
      <w:r>
        <w:t xml:space="preserve">(v. 2). The distance is not merely spatial but existential: the psalmist feels cut off, overwhelmed, at the limits of his capacity. From that place he petitions God to lead him to the rock that is higher than he — acknowledging that he cannot get there himself, only God can bring him. He then anchors his petition in covenant history: God has been a refuge and strong tower before (v. 3); he longs to dwell in God’s tent and take shelter under His wings (v. 4). Verses 5-7 shift to confidence and intercession: God has heard his vows, has given him the heritage of those who fear God’s name, and will prolong the king’s life. The psalm closes (v. 8) with a vow of daily praise, tethered to the ongoing fulfillment of vows.</w:t>
      </w:r>
    </w:p>
    <w:p>
      <w:pPr>
        <w:pStyle w:val="BodyText"/>
      </w:pPr>
      <w:r>
        <w:t xml:space="preserve">The movement is: cry from weakness → petition for access → covenant memory → confidence and royal prayer → praise vow. The psalm is brief but complete in its arc.</w:t>
      </w:r>
    </w:p>
    <w:p>
      <w:pPr>
        <w:pStyle w:val="BodyText"/>
      </w:pPr>
      <w:r>
        <w:rPr>
          <w:b/>
          <w:bCs/>
        </w:rPr>
        <w:t xml:space="preserve">This Text — Intent</w:t>
      </w:r>
    </w:p>
    <w:p>
      <w:pPr>
        <w:pStyle w:val="BodyText"/>
      </w:pPr>
      <w:r>
        <w:t xml:space="preserve">God’s intent through Psalm 61 is to meet the believer in the place of overwhelming weakness and redirect their cry toward confident petition — not by resolving the circumstances that produced the weakness, but by anchoring the cry in covenant faithfulness already demonstrated. God is drawing the overwhelmed soul away from despair and toward the rock, the refuge, the tent, the wings — all images of sheltered access to God Himself as the answer. The effect God seeks is not information about refuge but actual taking of refuge — the movement from paralyzed lament to sustained, vow-keeping praise.</w:t>
      </w:r>
    </w:p>
    <w:p>
      <w:r>
        <w:pict>
          <v:rect style="width:0;height:1.5pt" o:hralign="center" o:hrstd="t" o:hr="t"/>
        </w:pict>
      </w:r>
    </w:p>
    <w:p>
      <w:pPr>
        <w:pStyle w:val="FirstParagraph"/>
      </w:pPr>
      <w:r>
        <w:rPr>
          <w:b/>
          <w:bCs/>
        </w:rPr>
        <w:t xml:space="preserve">Subject Sentence:</w:t>
      </w:r>
      <w:r>
        <w:t xml:space="preserve"> </w:t>
      </w:r>
      <w:r>
        <w:t xml:space="preserve">When the heart is faint and distance feels absolute, God is the rock to which He Himself leads.</w:t>
      </w:r>
    </w:p>
    <w:p>
      <w:r>
        <w:pict>
          <v:rect style="width:0;height:1.5pt" o:hralign="center" o:hrstd="t" o:hr="t"/>
        </w:pict>
      </w:r>
    </w:p>
    <w:p>
      <w:pPr>
        <w:pStyle w:val="FirstParagraph"/>
      </w:pPr>
      <w:r>
        <w:rPr>
          <w:b/>
          <w:bCs/>
        </w:rPr>
        <w:t xml:space="preserve">Primary Claim:</w:t>
      </w:r>
      <w:r>
        <w:t xml:space="preserve"> </w:t>
      </w:r>
      <w:r>
        <w:t xml:space="preserve">God does not abandon His people at the end of their strength — He hears the faint cry from the far edge, leads them to a refuge higher than their own capacity, and holds them in covenant faithfulness until praise becomes their permanent posture.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Royal Framing (vv. 6-7)</w:t>
      </w:r>
    </w:p>
    <w:p>
      <w:pPr>
        <w:pStyle w:val="BodyText"/>
      </w:pPr>
      <w:r>
        <w:t xml:space="preserve">A significant interpretive question concerns the royal section in verses 6-7:</w:t>
      </w:r>
      <w:r>
        <w:t xml:space="preserve"> </w:t>
      </w:r>
      <w:r>
        <w:t xml:space="preserve">“Prolong the life of the king; may his years endure to all generations! May he be enthroned forever before God; appoint steadfast love and faithfulness to watch over him!”</w:t>
      </w:r>
      <w:r>
        <w:t xml:space="preserve"> </w:t>
      </w:r>
      <w:r>
        <w:t xml:space="preserve">If David wrote this psalm (as the superscription indicates), is he praying for himself, or is there a Messianic dimension? Three readings compete.</w:t>
      </w:r>
    </w:p>
    <w:p>
      <w:pPr>
        <w:pStyle w:val="BodyText"/>
      </w:pPr>
      <w:r>
        <w:t xml:space="preserve">The first reading is purely autobiographical: David, perhaps in exile during Absalom’s rebellion or while fleeing Saul, prays for his own continued reign and protection. This reading is grammatically and historically coherent and should not be dismissed. The shift from first person (vv. 1-5) to third person (vv. 6-7) supports the reading that David prays for the king as a covenantal office, not merely for himself personally — a kind of self-intercession in his royal capacity.</w:t>
      </w:r>
    </w:p>
    <w:p>
      <w:pPr>
        <w:pStyle w:val="BodyText"/>
      </w:pPr>
      <w:r>
        <w:t xml:space="preserve">The second reading is directly Messianic: the</w:t>
      </w:r>
      <w:r>
        <w:t xml:space="preserve"> </w:t>
      </w:r>
      <w:r>
        <w:t xml:space="preserve">“years enduring to all generations”</w:t>
      </w:r>
      <w:r>
        <w:t xml:space="preserve"> </w:t>
      </w:r>
      <w:r>
        <w:t xml:space="preserve">and being</w:t>
      </w:r>
      <w:r>
        <w:t xml:space="preserve"> </w:t>
      </w:r>
      <w:r>
        <w:t xml:space="preserve">“enthroned forever before God”</w:t>
      </w:r>
      <w:r>
        <w:t xml:space="preserve"> </w:t>
      </w:r>
      <w:r>
        <w:t xml:space="preserve">exceed what any human king’s reign could literally fulfill. The language of perpetual enthronement before God is precisely the language the New Testament applies to Christ (Hebrews 1:8; Psalm 110:1). Reformed hermeneutics rightly notes that David’s royal psalms operate on two registers simultaneously — the immediate Davidic king and the ultimate Davidic King. This is not allegory but typology: David’s kingship was designed to point forward to a greater David. The phrase</w:t>
      </w:r>
      <w:r>
        <w:t xml:space="preserve"> </w:t>
      </w:r>
      <w:r>
        <w:t xml:space="preserve">“steadfast love and faithfulness”</w:t>
      </w:r>
      <w:r>
        <w:t xml:space="preserve"> </w:t>
      </w:r>
      <w:r>
        <w:t xml:space="preserve">(</w:t>
      </w:r>
      <w:r>
        <w:rPr>
          <w:i/>
          <w:iCs/>
        </w:rPr>
        <w:t xml:space="preserve">hesed</w:t>
      </w:r>
      <w:r>
        <w:t xml:space="preserve"> </w:t>
      </w:r>
      <w:r>
        <w:t xml:space="preserve">and</w:t>
      </w:r>
      <w:r>
        <w:t xml:space="preserve"> </w:t>
      </w:r>
      <w:r>
        <w:rPr>
          <w:i/>
          <w:iCs/>
        </w:rPr>
        <w:t xml:space="preserve">emet</w:t>
      </w:r>
      <w:r>
        <w:t xml:space="preserve">) assigned as protectors of the king echoes the covenant attributes of God Himself (Exodus 34:6), reinforcing that this king will be the embodiment of divine covenant faithfulness.</w:t>
      </w:r>
    </w:p>
    <w:p>
      <w:pPr>
        <w:pStyle w:val="BodyText"/>
      </w:pPr>
      <w:r>
        <w:t xml:space="preserve">The third reading, common in Arminian and broadly evangelical contexts, spiritualizes the royal section entirely and applies it to the believer’s own spiritual flourishing —</w:t>
      </w:r>
      <w:r>
        <w:t xml:space="preserve"> </w:t>
      </w:r>
      <w:r>
        <w:t xml:space="preserve">“prolong the life of the king”</w:t>
      </w:r>
      <w:r>
        <w:t xml:space="preserve"> </w:t>
      </w:r>
      <w:r>
        <w:t xml:space="preserve">becomes</w:t>
      </w:r>
      <w:r>
        <w:t xml:space="preserve"> </w:t>
      </w:r>
      <w:r>
        <w:t xml:space="preserve">“may my spiritual vitality endure.”</w:t>
      </w:r>
      <w:r>
        <w:t xml:space="preserve"> </w:t>
      </w:r>
      <w:r>
        <w:t xml:space="preserve">This reading loses both the Davidic-covenantal horizon and the Messianic typology and should be</w:t>
      </w:r>
      <w:r>
        <w:t xml:space="preserve"> </w:t>
      </w:r>
      <w:r>
        <w:rPr>
          <w:b/>
          <w:bCs/>
        </w:rPr>
        <w:t xml:space="preserve">refuted</w:t>
      </w:r>
      <w:r>
        <w:t xml:space="preserve"> </w:t>
      </w:r>
      <w:r>
        <w:t xml:space="preserve">as insufficient, though the instinct toward personal application is not wrong in itself.</w:t>
      </w:r>
    </w:p>
    <w:p>
      <w:pPr>
        <w:pStyle w:val="BodyText"/>
      </w:pPr>
      <w:r>
        <w:t xml:space="preserve">The Reformed reading holds both registers: David prays genuinely for his own kingship, but the psalm’s language reaches beyond what David’s reign could contain, and is rightly read as pointing to the One whose throne is forever (Hebrews 1:8). The comfort to the overwhelmed believer is therefore not merely</w:t>
      </w:r>
      <w:r>
        <w:t xml:space="preserve"> </w:t>
      </w:r>
      <w:r>
        <w:t xml:space="preserve">“a human king will be preserved”</w:t>
      </w:r>
      <w:r>
        <w:t xml:space="preserve"> </w:t>
      </w:r>
      <w:r>
        <w:t xml:space="preserve">but</w:t>
      </w:r>
      <w:r>
        <w:t xml:space="preserve"> </w:t>
      </w:r>
      <w:r>
        <w:t xml:space="preserve">“the eternal King before whom you take refuge will reign without end.”</w:t>
      </w:r>
    </w:p>
    <w:p>
      <w:pPr>
        <w:pStyle w:val="BodyText"/>
      </w:pPr>
      <w:r>
        <w:rPr>
          <w:b/>
          <w:bCs/>
        </w:rPr>
        <w:t xml:space="preserve">The</w:t>
      </w:r>
      <w:r>
        <w:rPr>
          <w:b/>
          <w:bCs/>
        </w:rPr>
        <w:t xml:space="preserve"> </w:t>
      </w:r>
      <w:r>
        <w:rPr>
          <w:b/>
          <w:bCs/>
        </w:rPr>
        <w:t xml:space="preserve">“End of the Earth”</w:t>
      </w:r>
      <w:r>
        <w:rPr>
          <w:b/>
          <w:bCs/>
        </w:rPr>
        <w:t xml:space="preserve"> </w:t>
      </w:r>
      <w:r>
        <w:rPr>
          <w:b/>
          <w:bCs/>
        </w:rPr>
        <w:t xml:space="preserve">(v. 2)</w:t>
      </w:r>
    </w:p>
    <w:p>
      <w:pPr>
        <w:pStyle w:val="BodyText"/>
      </w:pPr>
      <w:r>
        <w:t xml:space="preserve">Some commentators, particularly those with a corporate/liturgical reading of the Psalter, read</w:t>
      </w:r>
      <w:r>
        <w:t xml:space="preserve"> </w:t>
      </w:r>
      <w:r>
        <w:t xml:space="preserve">“end of the earth”</w:t>
      </w:r>
      <w:r>
        <w:t xml:space="preserve"> </w:t>
      </w:r>
      <w:r>
        <w:t xml:space="preserve">as a communal exile reference — Israel far from the land and temple, unable to worship in Jerusalem. This reading has force in the post-exilic liturgical use of the Psalter. However, the personal, first-person urgency of verses 1-4 and the superscription’s Davidic attribution make the individual reading primary. The corporate reading may be</w:t>
      </w:r>
      <w:r>
        <w:t xml:space="preserve"> </w:t>
      </w:r>
      <w:r>
        <w:rPr>
          <w:b/>
          <w:bCs/>
        </w:rPr>
        <w:t xml:space="preserve">acknowledged</w:t>
      </w:r>
      <w:r>
        <w:t xml:space="preserve"> </w:t>
      </w:r>
      <w:r>
        <w:t xml:space="preserve">as a legitimate secondary register — the psalm would have spoken powerfully to exiled Israel — but it should not displace the personal, individual cry as the text’s primary frame.</w:t>
      </w:r>
    </w:p>
    <w:p>
      <w:pPr>
        <w:pStyle w:val="BodyText"/>
      </w:pPr>
      <w:r>
        <w:rPr>
          <w:b/>
          <w:bCs/>
        </w:rPr>
        <w:t xml:space="preserve">Refuge Imagery and Sacramental Misuse</w:t>
      </w:r>
    </w:p>
    <w:p>
      <w:pPr>
        <w:pStyle w:val="BodyText"/>
      </w:pPr>
      <w:r>
        <w:t xml:space="preserve">Roman Catholic exegesis has occasionally used the</w:t>
      </w:r>
      <w:r>
        <w:t xml:space="preserve"> </w:t>
      </w:r>
      <w:r>
        <w:t xml:space="preserve">“tent”</w:t>
      </w:r>
      <w:r>
        <w:t xml:space="preserve"> </w:t>
      </w:r>
      <w:r>
        <w:t xml:space="preserve">and</w:t>
      </w:r>
      <w:r>
        <w:t xml:space="preserve"> </w:t>
      </w:r>
      <w:r>
        <w:t xml:space="preserve">“wings”</w:t>
      </w:r>
      <w:r>
        <w:t xml:space="preserve"> </w:t>
      </w:r>
      <w:r>
        <w:t xml:space="preserve">language (v. 4) as a reference to the sanctuary and its sacraments as the means of access to God. While the imagery is indeed connected to the tabernacle/temple complex in the Old Testament background, the thrust of the verse is not sacramental mediation but personal, covenantal shelter — the imagery of a bird sheltering chicks under its wings (cf. Ruth 2:12; Matthew 23:37). The emphasis is on</w:t>
      </w:r>
      <w:r>
        <w:t xml:space="preserve"> </w:t>
      </w:r>
      <w:r>
        <w:rPr>
          <w:i/>
          <w:iCs/>
        </w:rPr>
        <w:t xml:space="preserve">God’s</w:t>
      </w:r>
      <w:r>
        <w:t xml:space="preserve"> </w:t>
      </w:r>
      <w:r>
        <w:t xml:space="preserve">sheltering faithfulness, not on a ritual structure. This reading should be</w:t>
      </w:r>
      <w:r>
        <w:t xml:space="preserve"> </w:t>
      </w:r>
      <w:r>
        <w:rPr>
          <w:b/>
          <w:bCs/>
        </w:rPr>
        <w:t xml:space="preserve">qualified</w:t>
      </w:r>
      <w:r>
        <w:t xml:space="preserve"> </w:t>
      </w:r>
      <w:r>
        <w:t xml:space="preserve">— the temple imagery is present and real, but the text does not develop it sacramentally; it develops it relationally.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46:1</w:t>
      </w:r>
      <w:r>
        <w:t xml:space="preserve"> </w:t>
      </w:r>
      <w:r>
        <w:t xml:space="preserve">—</w:t>
      </w:r>
      <w:r>
        <w:t xml:space="preserve"> </w:t>
      </w:r>
      <w:r>
        <w:t xml:space="preserve">“God is our refuge and strength, a very present help in trouble”</w:t>
      </w:r>
      <w:r>
        <w:t xml:space="preserve"> </w:t>
      </w:r>
      <w:r>
        <w:t xml:space="preserve">— the identical confidence that God Himself is the refuge, not merely a path to it, corroborates the Primary Claim’s anchor.</w:t>
      </w:r>
    </w:p>
    <w:p>
      <w:pPr>
        <w:numPr>
          <w:ilvl w:val="0"/>
          <w:numId w:val="1001"/>
        </w:numPr>
      </w:pPr>
      <w:r>
        <w:rPr>
          <w:b/>
          <w:bCs/>
        </w:rPr>
        <w:t xml:space="preserve">Psalm 18:2</w:t>
      </w:r>
      <w:r>
        <w:t xml:space="preserve"> </w:t>
      </w:r>
      <w:r>
        <w:t xml:space="preserve">—</w:t>
      </w:r>
      <w:r>
        <w:t xml:space="preserve"> </w:t>
      </w:r>
      <w:r>
        <w:t xml:space="preserve">“The LORD is my rock and my fortress and my deliverer, my God, my rock, in whom I take refuge”</w:t>
      </w:r>
      <w:r>
        <w:t xml:space="preserve"> </w:t>
      </w:r>
      <w:r>
        <w:t xml:space="preserve">— David’s rock-language elsewhere in the Psalter grounds Psalm 61:2’s petition to be</w:t>
      </w:r>
      <w:r>
        <w:t xml:space="preserve"> </w:t>
      </w:r>
      <w:r>
        <w:t xml:space="preserve">“led to the rock that is higher than I.”</w:t>
      </w:r>
    </w:p>
    <w:p>
      <w:pPr>
        <w:numPr>
          <w:ilvl w:val="0"/>
          <w:numId w:val="1001"/>
        </w:numPr>
      </w:pPr>
      <w:r>
        <w:rPr>
          <w:b/>
          <w:bCs/>
        </w:rPr>
        <w:t xml:space="preserve">Ruth 2:12</w:t>
      </w:r>
      <w:r>
        <w:t xml:space="preserve"> </w:t>
      </w:r>
      <w:r>
        <w:t xml:space="preserve">— Boaz blesses Ruth:</w:t>
      </w:r>
      <w:r>
        <w:t xml:space="preserve"> </w:t>
      </w:r>
      <w:r>
        <w:t xml:space="preserve">“under whose wings you have come to take refuge”</w:t>
      </w:r>
      <w:r>
        <w:t xml:space="preserve"> </w:t>
      </w:r>
      <w:r>
        <w:t xml:space="preserve">— the wings-of-God imagery appears here in a narrative context of covenantal faithfulness to a foreigner, showing the reach of the shelter Psalm 61:4 anticipates.</w:t>
      </w:r>
    </w:p>
    <w:p>
      <w:pPr>
        <w:numPr>
          <w:ilvl w:val="0"/>
          <w:numId w:val="1001"/>
        </w:numPr>
      </w:pPr>
      <w:r>
        <w:rPr>
          <w:b/>
          <w:bCs/>
        </w:rPr>
        <w:t xml:space="preserve">Hebrews 1:8</w:t>
      </w:r>
      <w:r>
        <w:t xml:space="preserve"> </w:t>
      </w:r>
      <w:r>
        <w:t xml:space="preserve">—</w:t>
      </w:r>
      <w:r>
        <w:t xml:space="preserve"> </w:t>
      </w:r>
      <w:r>
        <w:t xml:space="preserve">“Your throne, O God, is forever and ever”</w:t>
      </w:r>
      <w:r>
        <w:t xml:space="preserve"> </w:t>
      </w:r>
      <w:r>
        <w:t xml:space="preserve">— cited of Christ, this confirms that the perpetual enthronement language of Psalm 61:7 finds its fulfillment in the Son, grounding the psalm’s royal intercession in its ultimate Messianic horizon.</w:t>
      </w:r>
    </w:p>
    <w:p>
      <w:pPr>
        <w:numPr>
          <w:ilvl w:val="0"/>
          <w:numId w:val="1001"/>
        </w:numPr>
      </w:pPr>
      <w:r>
        <w:rPr>
          <w:b/>
          <w:bCs/>
        </w:rPr>
        <w:t xml:space="preserve">Matthew 11:28</w:t>
      </w:r>
      <w:r>
        <w:t xml:space="preserve"> </w:t>
      </w:r>
      <w:r>
        <w:t xml:space="preserve">—</w:t>
      </w:r>
      <w:r>
        <w:t xml:space="preserve"> </w:t>
      </w:r>
      <w:r>
        <w:t xml:space="preserve">“Come to me, all who labor and are heavy laden, and I will give you rest”</w:t>
      </w:r>
      <w:r>
        <w:t xml:space="preserve"> </w:t>
      </w:r>
      <w:r>
        <w:t xml:space="preserve">— Christ’s invitation to the overwhelmed echoes the structure of Psalm 61: the faint cry is met with the offer of access to the One who is higher, the rest that the exhausted cannot manufacture themselves.</w:t>
      </w:r>
    </w:p>
    <w:p>
      <w:r>
        <w:pict>
          <v:rect style="width:0;height:1.5pt" o:hralign="center" o:hrstd="t" o:hr="t"/>
        </w:pict>
      </w:r>
    </w:p>
    <w:p>
      <w:pPr>
        <w:pStyle w:val="FirstParagraph"/>
      </w:pPr>
      <w:r>
        <w:rPr>
          <w:b/>
          <w:bCs/>
        </w:rPr>
        <w:t xml:space="preserve">Aim:</w:t>
      </w:r>
      <w:r>
        <w:t xml:space="preserve"> </w:t>
      </w:r>
      <w:r>
        <w:t xml:space="preserve">To lead the reader from the posture of overwhelmed distance to the posture of confident, covenant-grounded access to God — and to show that this movement is itself God’s work, not the reader’s achievement.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“Hear my cry, O God; listen to my prayer”</w:t>
            </w:r>
          </w:p>
        </w:tc>
        <w:tc>
          <w:tcPr/>
          <w:p>
            <w:pPr>
              <w:pStyle w:val="Compact"/>
            </w:pPr>
            <w:r>
              <w:t xml:space="preserve">Opening petition — double imperative; urgency established immediately</w:t>
            </w:r>
          </w:p>
        </w:tc>
      </w:tr>
      <w:tr>
        <w:tc>
          <w:tcPr/>
          <w:p>
            <w:pPr>
              <w:pStyle w:val="Compact"/>
            </w:pPr>
            <w:r>
              <w:t xml:space="preserve">2a</w:t>
            </w:r>
          </w:p>
        </w:tc>
        <w:tc>
          <w:tcPr/>
          <w:p>
            <w:pPr>
              <w:pStyle w:val="Compact"/>
            </w:pPr>
            <w:r>
              <w:t xml:space="preserve">“From the end of the earth I cry to you when my heart is faint”</w:t>
            </w:r>
          </w:p>
        </w:tc>
        <w:tc>
          <w:tcPr/>
          <w:p>
            <w:pPr>
              <w:pStyle w:val="Compact"/>
            </w:pPr>
            <w:r>
              <w:t xml:space="preserve">Extreme distance — geographic and/or emotional;</w:t>
            </w:r>
            <w:r>
              <w:t xml:space="preserve"> </w:t>
            </w:r>
            <w:r>
              <w:t xml:space="preserve">“heart is faint”</w:t>
            </w:r>
            <w:r>
              <w:t xml:space="preserve"> </w:t>
            </w:r>
            <w:r>
              <w:t xml:space="preserve">(</w:t>
            </w:r>
            <w:r>
              <w:rPr>
                <w:i/>
                <w:iCs/>
              </w:rPr>
              <w:t xml:space="preserve">ʿāṭap</w:t>
            </w:r>
            <w:r>
              <w:t xml:space="preserve">) = overwhelmed, covered over, unable to continue</w:t>
            </w:r>
          </w:p>
        </w:tc>
      </w:tr>
      <w:tr>
        <w:tc>
          <w:tcPr/>
          <w:p>
            <w:pPr>
              <w:pStyle w:val="Compact"/>
            </w:pPr>
            <w:r>
              <w:t xml:space="preserve">2b</w:t>
            </w:r>
          </w:p>
        </w:tc>
        <w:tc>
          <w:tcPr/>
          <w:p>
            <w:pPr>
              <w:pStyle w:val="Compact"/>
            </w:pPr>
            <w:r>
              <w:t xml:space="preserve">“Lead me to the rock that is higher than I”</w:t>
            </w:r>
          </w:p>
        </w:tc>
        <w:tc>
          <w:tcPr/>
          <w:p>
            <w:pPr>
              <w:pStyle w:val="Compact"/>
            </w:pPr>
            <w:r>
              <w:t xml:space="preserve">Key petition — cannot get there himself; requires divine leading;</w:t>
            </w:r>
            <w:r>
              <w:t xml:space="preserve"> </w:t>
            </w:r>
            <w:r>
              <w:t xml:space="preserve">“higher than I”</w:t>
            </w:r>
            <w:r>
              <w:t xml:space="preserve"> </w:t>
            </w:r>
            <w:r>
              <w:t xml:space="preserve">(</w:t>
            </w:r>
            <w:r>
              <w:rPr>
                <w:i/>
                <w:iCs/>
              </w:rPr>
              <w:t xml:space="preserve">yārûm mimmennî</w:t>
            </w:r>
            <w:r>
              <w:t xml:space="preserve">) = beyond my reach</w:t>
            </w:r>
          </w:p>
        </w:tc>
      </w:tr>
      <w:tr>
        <w:tc>
          <w:tcPr/>
          <w:p>
            <w:pPr>
              <w:pStyle w:val="Compact"/>
            </w:pPr>
            <w:r>
              <w:t xml:space="preserve">3</w:t>
            </w:r>
          </w:p>
        </w:tc>
        <w:tc>
          <w:tcPr/>
          <w:p>
            <w:pPr>
              <w:pStyle w:val="Compact"/>
            </w:pPr>
            <w:r>
              <w:t xml:space="preserve">“For you have been my refuge, a strong tower against the enemy”</w:t>
            </w:r>
          </w:p>
        </w:tc>
        <w:tc>
          <w:tcPr/>
          <w:p>
            <w:pPr>
              <w:pStyle w:val="Compact"/>
            </w:pPr>
            <w:r>
              <w:t xml:space="preserve">Grounds petition in covenant history; past faithfulness is the warrant for present petition</w:t>
            </w:r>
          </w:p>
        </w:tc>
      </w:tr>
      <w:tr>
        <w:tc>
          <w:tcPr/>
          <w:p>
            <w:pPr>
              <w:pStyle w:val="Compact"/>
            </w:pPr>
            <w:r>
              <w:t xml:space="preserve">4</w:t>
            </w:r>
          </w:p>
        </w:tc>
        <w:tc>
          <w:tcPr/>
          <w:p>
            <w:pPr>
              <w:pStyle w:val="Compact"/>
            </w:pPr>
            <w:r>
              <w:t xml:space="preserve">“Let me dwell in your tent forever! Let me take refuge under the shelter of your wings!”</w:t>
            </w:r>
          </w:p>
        </w:tc>
        <w:tc>
          <w:tcPr/>
          <w:p>
            <w:pPr>
              <w:pStyle w:val="Compact"/>
            </w:pPr>
            <w:r>
              <w:t xml:space="preserve">Twofold desire: permanent dwelling and protective shelter; tabernacle imagery and bird-wing imagery combined</w:t>
            </w:r>
          </w:p>
        </w:tc>
      </w:tr>
      <w:tr>
        <w:tc>
          <w:tcPr/>
          <w:p>
            <w:pPr>
              <w:pStyle w:val="Compact"/>
            </w:pPr>
            <w:r>
              <w:t xml:space="preserve">5</w:t>
            </w:r>
          </w:p>
        </w:tc>
        <w:tc>
          <w:tcPr/>
          <w:p>
            <w:pPr>
              <w:pStyle w:val="Compact"/>
            </w:pPr>
            <w:r>
              <w:t xml:space="preserve">“For you, O God, have heard my vows; you have given me the heritage of those who fear your name”</w:t>
            </w:r>
          </w:p>
        </w:tc>
        <w:tc>
          <w:tcPr/>
          <w:p>
            <w:pPr>
              <w:pStyle w:val="Compact"/>
            </w:pPr>
            <w:r>
              <w:t xml:space="preserve">Confidence grounded in God’s prior hearing;</w:t>
            </w:r>
            <w:r>
              <w:t xml:space="preserve"> </w:t>
            </w:r>
            <w:r>
              <w:t xml:space="preserve">“heritage of those who fear your name”</w:t>
            </w:r>
            <w:r>
              <w:t xml:space="preserve"> </w:t>
            </w:r>
            <w:r>
              <w:t xml:space="preserve">= inclusion in covenant community</w:t>
            </w:r>
          </w:p>
        </w:tc>
      </w:tr>
      <w:tr>
        <w:tc>
          <w:tcPr/>
          <w:p>
            <w:pPr>
              <w:pStyle w:val="Compact"/>
            </w:pPr>
            <w:r>
              <w:t xml:space="preserve">6</w:t>
            </w:r>
          </w:p>
        </w:tc>
        <w:tc>
          <w:tcPr/>
          <w:p>
            <w:pPr>
              <w:pStyle w:val="Compact"/>
            </w:pPr>
            <w:r>
              <w:t xml:space="preserve">“Prolong the life of the king; may his years endure to all generations!”</w:t>
            </w:r>
          </w:p>
        </w:tc>
        <w:tc>
          <w:tcPr/>
          <w:p>
            <w:pPr>
              <w:pStyle w:val="Compact"/>
            </w:pPr>
            <w:r>
              <w:t xml:space="preserve">Royal prayer — shift to third person; language exceeds literal human reign</w:t>
            </w:r>
          </w:p>
        </w:tc>
      </w:tr>
      <w:tr>
        <w:tc>
          <w:tcPr/>
          <w:p>
            <w:pPr>
              <w:pStyle w:val="Compact"/>
            </w:pPr>
            <w:r>
              <w:t xml:space="preserve">7</w:t>
            </w:r>
          </w:p>
        </w:tc>
        <w:tc>
          <w:tcPr/>
          <w:p>
            <w:pPr>
              <w:pStyle w:val="Compact"/>
            </w:pPr>
            <w:r>
              <w:t xml:space="preserve">“May he be enthroned forever before God; appoint steadfast love and faithfulness to watch over him!”</w:t>
            </w:r>
          </w:p>
        </w:tc>
        <w:tc>
          <w:tcPr/>
          <w:p>
            <w:pPr>
              <w:pStyle w:val="Compact"/>
            </w:pPr>
            <w:r>
              <w:rPr>
                <w:i/>
                <w:iCs/>
              </w:rPr>
              <w:t xml:space="preserve">Hesed</w:t>
            </w:r>
            <w:r>
              <w:t xml:space="preserve"> </w:t>
            </w:r>
            <w:r>
              <w:t xml:space="preserve">and</w:t>
            </w:r>
            <w:r>
              <w:t xml:space="preserve"> </w:t>
            </w:r>
            <w:r>
              <w:rPr>
                <w:i/>
                <w:iCs/>
              </w:rPr>
              <w:t xml:space="preserve">emet</w:t>
            </w:r>
            <w:r>
              <w:t xml:space="preserve"> </w:t>
            </w:r>
            <w:r>
              <w:t xml:space="preserve">as covenant attributes assigned as royal guardians; perpetual enthronement before God</w:t>
            </w:r>
          </w:p>
        </w:tc>
      </w:tr>
      <w:tr>
        <w:tc>
          <w:tcPr/>
          <w:p>
            <w:pPr>
              <w:pStyle w:val="Compact"/>
            </w:pPr>
            <w:r>
              <w:t xml:space="preserve">8</w:t>
            </w:r>
          </w:p>
        </w:tc>
        <w:tc>
          <w:tcPr/>
          <w:p>
            <w:pPr>
              <w:pStyle w:val="Compact"/>
            </w:pPr>
            <w:r>
              <w:t xml:space="preserve">“So will I ever sing praises to your name, as I perform my vows day after day”</w:t>
            </w:r>
          </w:p>
        </w:tc>
        <w:tc>
          <w:tcPr/>
          <w:p>
            <w:pPr>
              <w:pStyle w:val="Compact"/>
            </w:pPr>
            <w:r>
              <w:t xml:space="preserve">Closing vow —</w:t>
            </w:r>
            <w:r>
              <w:t xml:space="preserve"> </w:t>
            </w:r>
            <w:r>
              <w:t xml:space="preserve">“day after day”</w:t>
            </w:r>
            <w:r>
              <w:t xml:space="preserve"> </w:t>
            </w:r>
            <w:r>
              <w:t xml:space="preserve">indicates sustained, habitual praise; the psalm ends in perpetual doxology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from the Edge: Petition from Overwhelming Weakness</w:t>
            </w:r>
          </w:p>
        </w:tc>
      </w:tr>
      <w:tr>
        <w:tc>
          <w:tcPr/>
          <w:p>
            <w:pPr>
              <w:pStyle w:val="Compact"/>
            </w:pPr>
            <w:r>
              <w:t xml:space="preserve">2</w:t>
            </w:r>
          </w:p>
        </w:tc>
        <w:tc>
          <w:tcPr/>
          <w:p>
            <w:pPr>
              <w:pStyle w:val="Compact"/>
            </w:pPr>
            <w:r>
              <w:t xml:space="preserve">3–4</w:t>
            </w:r>
          </w:p>
        </w:tc>
        <w:tc>
          <w:tcPr/>
          <w:p>
            <w:pPr>
              <w:pStyle w:val="Compact"/>
            </w:pPr>
            <w:r>
              <w:t xml:space="preserve">The Warrant for the Cry: Covenant Memory and Longing for Access</w:t>
            </w:r>
          </w:p>
        </w:tc>
      </w:tr>
      <w:tr>
        <w:tc>
          <w:tcPr/>
          <w:p>
            <w:pPr>
              <w:pStyle w:val="Compact"/>
            </w:pPr>
            <w:r>
              <w:t xml:space="preserve">3</w:t>
            </w:r>
          </w:p>
        </w:tc>
        <w:tc>
          <w:tcPr/>
          <w:p>
            <w:pPr>
              <w:pStyle w:val="Compact"/>
            </w:pPr>
            <w:r>
              <w:t xml:space="preserve">5–7</w:t>
            </w:r>
          </w:p>
        </w:tc>
        <w:tc>
          <w:tcPr/>
          <w:p>
            <w:pPr>
              <w:pStyle w:val="Compact"/>
            </w:pPr>
            <w:r>
              <w:t xml:space="preserve">The Ground of Confidence: God’s Hearing and the Eternal King</w:t>
            </w:r>
          </w:p>
        </w:tc>
      </w:tr>
      <w:tr>
        <w:tc>
          <w:tcPr/>
          <w:p>
            <w:pPr>
              <w:pStyle w:val="Compact"/>
            </w:pPr>
            <w:r>
              <w:t xml:space="preserve">4</w:t>
            </w:r>
          </w:p>
        </w:tc>
        <w:tc>
          <w:tcPr/>
          <w:p>
            <w:pPr>
              <w:pStyle w:val="Compact"/>
            </w:pPr>
            <w:r>
              <w:t xml:space="preserve">8</w:t>
            </w:r>
          </w:p>
        </w:tc>
        <w:tc>
          <w:tcPr/>
          <w:p>
            <w:pPr>
              <w:pStyle w:val="Compact"/>
            </w:pPr>
            <w:r>
              <w:t xml:space="preserve">The Response of the Rescued: Perpetual, Vow-Fulfilling Praise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the heart is faint and distance feels absolute, God is the rock to which He Himself leads.</w:t>
      </w:r>
    </w:p>
    <w:p>
      <w:pPr>
        <w:pStyle w:val="BodyText"/>
      </w:pPr>
      <w:r>
        <w:rPr>
          <w:b/>
          <w:bCs/>
        </w:rPr>
        <w:t xml:space="preserve">Primary Claim:</w:t>
      </w:r>
      <w:r>
        <w:t xml:space="preserve"> </w:t>
      </w:r>
      <w:r>
        <w:t xml:space="preserve">God does not abandon His people at the end of their strength — He hears the faint cry from the far edge, leads them to a refuge higher than their own capacity, and holds them in covenant faithfulness until praise becomes their permanent posture.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“faint-heartedness”</w:t>
      </w:r>
      <w:r>
        <w:rPr>
          <w:b/>
          <w:bCs/>
        </w:rPr>
        <w:t xml:space="preserve"> </w:t>
      </w:r>
      <w:r>
        <w:rPr>
          <w:b/>
          <w:bCs/>
        </w:rPr>
        <w:t xml:space="preserve">means before God.</w:t>
      </w:r>
      <w:r>
        <w:t xml:space="preserve"> </w:t>
      </w:r>
      <w:r>
        <w:t xml:space="preserve">The common assumption is that weakness disqualifies prayer — that the faint, overwhelmed, barely-functioning believer must first stabilize before approaching God. Psalm 61 demolishes this assumption. The faint heart is not a barrier to the petition; it</w:t>
      </w:r>
      <w:r>
        <w:t xml:space="preserve"> </w:t>
      </w:r>
      <w:r>
        <w:rPr>
          <w:i/>
          <w:iCs/>
        </w:rPr>
        <w:t xml:space="preserve">is</w:t>
      </w:r>
      <w:r>
        <w:t xml:space="preserve"> </w:t>
      </w:r>
      <w:r>
        <w:t xml:space="preserve">the petition. David does not wait until he has recovered his composure to cry out. He cries</w:t>
      </w:r>
      <w:r>
        <w:t xml:space="preserve"> </w:t>
      </w:r>
      <w:r>
        <w:rPr>
          <w:i/>
          <w:iCs/>
        </w:rPr>
        <w:t xml:space="preserve">because</w:t>
      </w:r>
      <w:r>
        <w:t xml:space="preserve"> </w:t>
      </w:r>
      <w:r>
        <w:t xml:space="preserve">his heart is faint, from the very place of his extremity. Recognize in your own moments of overwhelm — the exhaustion, the spiritual numbness, the sense that you are too far away to pray — that this is precisely the condition from which Psalm 61 was written. You are not too faint to cry. The faint cry is the cry God hears.</w:t>
      </w:r>
    </w:p>
    <w:p>
      <w:pPr>
        <w:pStyle w:val="BodyText"/>
      </w:pPr>
      <w:r>
        <w:rPr>
          <w:b/>
          <w:bCs/>
        </w:rPr>
        <w:t xml:space="preserve">2. [Affections/Worship] — Learn to desire the Giver more than the relief.</w:t>
      </w:r>
      <w:r>
        <w:t xml:space="preserve"> </w:t>
      </w:r>
      <w:r>
        <w:t xml:space="preserve">The psalm’s petitions are striking in their object: David does not ask for rescue from his enemies, restoration of circumstances, or removal of his distress. He asks to be led to the rock, to dwell in the tent, to shelter under the wings. He asks for</w:t>
      </w:r>
      <w:r>
        <w:t xml:space="preserve"> </w:t>
      </w:r>
      <w:r>
        <w:rPr>
          <w:i/>
          <w:iCs/>
        </w:rPr>
        <w:t xml:space="preserve">God</w:t>
      </w:r>
      <w:r>
        <w:t xml:space="preserve">, not merely for God’s intervention. Let this reshape what you bring to prayer. When you are overwhelmed, notice what you are actually longing for — usually relief, reversal, rescue from the circumstances. Then ask whether the psalm is calling you deeper: to long for the Presence itself, to want the shelter more than the merely changed situation. The person whose heart has been reordered by grace will find, increasingly, that God Himself is the thing they are after — and the rest follows.</w:t>
      </w:r>
    </w:p>
    <w:p>
      <w:pPr>
        <w:pStyle w:val="BodyText"/>
      </w:pPr>
      <w:r>
        <w:rPr>
          <w:b/>
          <w:bCs/>
        </w:rPr>
        <w:t xml:space="preserve">3. [Mind/Belief] — Preach covenant history to your own faint heart.</w:t>
      </w:r>
      <w:r>
        <w:t xml:space="preserve"> </w:t>
      </w:r>
      <w:r>
        <w:t xml:space="preserve">David’s confidence in petition is grounded in explicit memory:</w:t>
      </w:r>
      <w:r>
        <w:t xml:space="preserve"> </w:t>
      </w:r>
      <w:r>
        <w:t xml:space="preserve">“you have been my refuge, a strong tower against the enemy”</w:t>
      </w:r>
      <w:r>
        <w:t xml:space="preserve"> </w:t>
      </w:r>
      <w:r>
        <w:t xml:space="preserve">(v. 3);</w:t>
      </w:r>
      <w:r>
        <w:t xml:space="preserve"> </w:t>
      </w:r>
      <w:r>
        <w:t xml:space="preserve">“you have heard my vows”</w:t>
      </w:r>
      <w:r>
        <w:t xml:space="preserve"> </w:t>
      </w:r>
      <w:r>
        <w:t xml:space="preserve">(v. 5). The move from crying (v. 2) to confidence (v. 5) is not the result of circumstances changing — it is the result of deliberately recalling what God has already done. Believers under pressure have a specific cognitive discipline to practice: rehearse covenant history. Not generic optimism (</w:t>
      </w:r>
      <w:r>
        <w:t xml:space="preserve">“things will get better”</w:t>
      </w:r>
      <w:r>
        <w:t xml:space="preserve">) but specific covenant memory (</w:t>
      </w:r>
      <w:r>
        <w:t xml:space="preserve">“God has heard before; God has kept His word before; this same God is the same rock”</w:t>
      </w:r>
      <w:r>
        <w:t xml:space="preserve">). The New Testament version of this is the cross — when God’s faithfulness feels abstract and distant, the concrete historical event of Christ’s death and resurrection is the anchor point. Preach that to yourself before you wait for your feelings to stabilize.</w:t>
      </w:r>
    </w:p>
    <w:p>
      <w:pPr>
        <w:pStyle w:val="BodyText"/>
      </w:pPr>
      <w:r>
        <w:rPr>
          <w:b/>
          <w:bCs/>
        </w:rPr>
        <w:t xml:space="preserve">4. [Will/Behavior] — Make the vow and keep it daily, beginning now, not after rescue.</w:t>
      </w:r>
      <w:r>
        <w:t xml:space="preserve"> </w:t>
      </w:r>
      <w:r>
        <w:t xml:space="preserve">The psalm ends with a vow of praise</w:t>
      </w:r>
      <w:r>
        <w:t xml:space="preserve"> </w:t>
      </w:r>
      <w:r>
        <w:t xml:space="preserve">“day after day”</w:t>
      </w:r>
      <w:r>
        <w:t xml:space="preserve"> </w:t>
      </w:r>
      <w:r>
        <w:t xml:space="preserve">(v. 8) — but critically, this vow is made from within the psalm, not after it concludes with rescue. David vows praise while still in the cry-and-petition section of his experience. The discipline here is concrete and actionable: establish a daily practice of praise that is not contingent on your circumstances improving. This is not toxic positivity — Psalm 61 does not pretend the distress is gone. It vows praise anyway, grounded in who God is and what He has already done. Identify one daily practice — a psalm read aloud, a hymn sung, a specific act of gratitude named — that you will maintain through the current season of overwhelm, not as a condition of God’s blessing but as an act of covenantal loyalty and trust.</w:t>
      </w:r>
    </w:p>
    <w:p>
      <w:pPr>
        <w:pStyle w:val="BodyText"/>
      </w:pPr>
      <w:r>
        <w:rPr>
          <w:b/>
          <w:bCs/>
        </w:rPr>
        <w:t xml:space="preserve">5. [Affections/Worship] — Rest in the security of the Eternal King, not in your own spiritual performance.</w:t>
      </w:r>
      <w:r>
        <w:t xml:space="preserve"> </w:t>
      </w:r>
      <w:r>
        <w:t xml:space="preserve">The psalm’s royal section (vv. 6-7) — properly read as pointing toward Christ — offers a specific comfort to the overwhelmed believer: you are not praying toward a king whose throne might fail, whose reign might end, whose covenant faithfulness might be exhausted. The one before whom you take refuge is enthroned forever. The</w:t>
      </w:r>
      <w:r>
        <w:t xml:space="preserve"> </w:t>
      </w:r>
      <w:r>
        <w:rPr>
          <w:i/>
          <w:iCs/>
        </w:rPr>
        <w:t xml:space="preserve">hesed</w:t>
      </w:r>
      <w:r>
        <w:t xml:space="preserve"> </w:t>
      </w:r>
      <w:r>
        <w:t xml:space="preserve">and</w:t>
      </w:r>
      <w:r>
        <w:t xml:space="preserve"> </w:t>
      </w:r>
      <w:r>
        <w:rPr>
          <w:i/>
          <w:iCs/>
        </w:rPr>
        <w:t xml:space="preserve">emet</w:t>
      </w:r>
      <w:r>
        <w:t xml:space="preserve"> </w:t>
      </w:r>
      <w:r>
        <w:t xml:space="preserve">— the steadfast love and faithfulness of God — are set as guardians over that throne. Your access to the rock is not secured by the quality of your cry or the faithfulness of your vow-keeping. It is secured by the eternal King whose reign cannot be interrupted. Believers prone to performance anxiety in their spiritual lives —</w:t>
      </w:r>
      <w:r>
        <w:t xml:space="preserve"> </w:t>
      </w:r>
      <w:r>
        <w:t xml:space="preserve">“am I praying enough, trusting enough, faithful enough?”</w:t>
      </w:r>
      <w:r>
        <w:t xml:space="preserve"> </w:t>
      </w:r>
      <w:r>
        <w:t xml:space="preserve">— are here called to rest in what does not depend on them: the forever-enthroned One who holds His 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61 teaches that God is not a God who waits at the center of comfortable circumstances for the composed believer to approach — He is a God who hears the faint cry from the far edge of human capacity. The phrase</w:t>
      </w:r>
      <w:r>
        <w:t xml:space="preserve"> </w:t>
      </w:r>
      <w:r>
        <w:t xml:space="preserve">“the rock that is higher than I”</w:t>
      </w:r>
      <w:r>
        <w:t xml:space="preserve"> </w:t>
      </w:r>
      <w:r>
        <w:t xml:space="preserve">is a profound theological statement: the refuge exceeds the believer’s own reach, which means access to it is entirely a gift of divine leading. The psalm also displays God’s covenant faithfulness (</w:t>
      </w:r>
      <w:r>
        <w:rPr>
          <w:i/>
          <w:iCs/>
        </w:rPr>
        <w:t xml:space="preserve">hesed</w:t>
      </w:r>
      <w:r>
        <w:t xml:space="preserve"> </w:t>
      </w:r>
      <w:r>
        <w:t xml:space="preserve">and</w:t>
      </w:r>
      <w:r>
        <w:t xml:space="preserve"> </w:t>
      </w:r>
      <w:r>
        <w:rPr>
          <w:i/>
          <w:iCs/>
        </w:rPr>
        <w:t xml:space="preserve">emet</w:t>
      </w:r>
      <w:r>
        <w:t xml:space="preserve">, v. 7) not merely as an attribute He possesses but as the active, protective framework within which the believer lives. God’s steadfast love is not passive — it is assigned as a guardian. The psalm’s movement from lament to vow further teaches that praise is not the reward for rescue but the proper posture of those who know who God is and what He has done, regardless of whether the present distress has lifted.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61 displays the Reformed understanding of grace operating at the level of the believer’s access to God: it is not the strong, composed, spiritually performing believer who reaches the rock, but the faint, far-away, overwhelmed one who is</w:t>
      </w:r>
      <w:r>
        <w:t xml:space="preserve"> </w:t>
      </w:r>
      <w:r>
        <w:rPr>
          <w:i/>
          <w:iCs/>
        </w:rPr>
        <w:t xml:space="preserve">led</w:t>
      </w:r>
      <w:r>
        <w:t xml:space="preserve"> </w:t>
      </w:r>
      <w:r>
        <w:t xml:space="preserve">there. This directly corroborates the Reformed insistence that salvation — and ongoing sanctification — is God’s work to and in the believer, not the believer’s work toward God. The royal section (vv. 6-7) grounds the psalm’s comfort in the Messianic trajectory of the Davidic covenant: the eternal King enthroned before God is Christ, and it is in union with Him that the believer’s own cry is heard and their refuge secured. The psalm thus models what Reformed spirituality looks like in practice: not confidence in one’s own spiritual state, but flight to a refuge that is higher than oneself, anchored in covenant memory, and sustained by the eternal reign of the One who is both the destination and the leader of the journey.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too far gone, too faint, or too distant for God to hear you. The psalm was written from exactly where you are — at the edge, overwhelmed, heart covered over. The only petition you need is the one David prays:</w:t>
      </w:r>
      <w:r>
        <w:t xml:space="preserve"> </w:t>
      </w:r>
      <w:r>
        <w:rPr>
          <w:i/>
          <w:iCs/>
        </w:rPr>
        <w:t xml:space="preserve">lead me to the rock that is higher than I.</w:t>
      </w:r>
      <w:r>
        <w:t xml:space="preserve"> </w:t>
      </w:r>
      <w:r>
        <w:t xml:space="preserve">You cannot get there on your own, and you do not have to — that is the point. The eternal King is enthroned; His steadfast love and faithfulness are standing guard; and the one who cries from the far edge is already being led home.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w:t>
      </w:r>
      <w:r>
        <w:rPr>
          <w:b/>
          <w:bCs/>
        </w:rPr>
        <w:t xml:space="preserve"> </w:t>
      </w:r>
      <w:r>
        <w:rPr>
          <w:b/>
          <w:bCs/>
        </w:rPr>
        <w:t xml:space="preserve">“the rock higher than I”</w:t>
      </w:r>
      <w:r>
        <w:rPr>
          <w:b/>
          <w:bCs/>
        </w:rPr>
        <w:t xml:space="preserve"> </w:t>
      </w:r>
      <w:r>
        <w:rPr>
          <w:b/>
          <w:bCs/>
        </w:rPr>
        <w:t xml:space="preserve">as self-help motivation.</w:t>
      </w:r>
      <w:r>
        <w:t xml:space="preserve"> </w:t>
      </w:r>
      <w:r>
        <w:t xml:space="preserve">The phrase is frequently used to inspire the struggling believer to</w:t>
      </w:r>
      <w:r>
        <w:t xml:space="preserve"> </w:t>
      </w:r>
      <w:r>
        <w:t xml:space="preserve">“reach higher”</w:t>
      </w:r>
      <w:r>
        <w:t xml:space="preserve"> </w:t>
      </w:r>
      <w:r>
        <w:t xml:space="preserve">or</w:t>
      </w:r>
      <w:r>
        <w:t xml:space="preserve"> </w:t>
      </w:r>
      <w:r>
        <w:t xml:space="preserve">“aspire to more.”</w:t>
      </w:r>
      <w:r>
        <w:t xml:space="preserve"> </w:t>
      </w:r>
      <w:r>
        <w:t xml:space="preserve">This inverts the text entirely. The point is not that the believer should climb — it is that the believer</w:t>
      </w:r>
      <w:r>
        <w:t xml:space="preserve"> </w:t>
      </w:r>
      <w:r>
        <w:rPr>
          <w:i/>
          <w:iCs/>
        </w:rPr>
        <w:t xml:space="preserve">cannot</w:t>
      </w:r>
      <w:r>
        <w:t xml:space="preserve"> </w:t>
      </w:r>
      <w:r>
        <w:t xml:space="preserve">climb and is asking God to lead them there. Preach the petition as a confession of incapacity, not a call to aspiration.</w:t>
      </w:r>
    </w:p>
    <w:p>
      <w:pPr>
        <w:numPr>
          <w:ilvl w:val="0"/>
          <w:numId w:val="1002"/>
        </w:numPr>
      </w:pPr>
      <w:r>
        <w:rPr>
          <w:b/>
          <w:bCs/>
        </w:rPr>
        <w:t xml:space="preserve">Skipping or spiritualizing the royal section (vv. 6-7).</w:t>
      </w:r>
      <w:r>
        <w:t xml:space="preserve"> </w:t>
      </w:r>
      <w:r>
        <w:t xml:space="preserve">These verses are often treated as an awkward interruption to a personal psalm and either passed over quickly or reduced to a metaphor for the believer’s own spiritual vitality. Neither approach is adequate. The royal section is load-bearing: it grounds the psalm’s confidence in the Davidic covenant and, typologically, in the eternal reign of Christ. A Psalm 61 sermon that does not arrive at the forever-enthroned King has left out the anchor that makes the personal confidence possible.</w:t>
      </w:r>
    </w:p>
    <w:p>
      <w:pPr>
        <w:numPr>
          <w:ilvl w:val="0"/>
          <w:numId w:val="1002"/>
        </w:numPr>
      </w:pPr>
      <w:r>
        <w:rPr>
          <w:b/>
          <w:bCs/>
        </w:rPr>
        <w:t xml:space="preserve">Presenting the vow of praise (v. 8) as the condition of answered prayer.</w:t>
      </w:r>
      <w:r>
        <w:t xml:space="preserve"> </w:t>
      </w:r>
      <w:r>
        <w:t xml:space="preserve">It is easy to read the closing vow as a transaction:</w:t>
      </w:r>
      <w:r>
        <w:t xml:space="preserve"> </w:t>
      </w:r>
      <w:r>
        <w:t xml:space="preserve">“if I praise God daily, He will rescue me.”</w:t>
      </w:r>
      <w:r>
        <w:t xml:space="preserve"> </w:t>
      </w:r>
      <w:r>
        <w:t xml:space="preserve">This is a works-covenant reading of a grace-covenant psalm. The vow is a response to who God already is and what He has already done — it is covenantal gratitude, not leverage. Preach it as the fruit of refuge, not the price of it.</w:t>
      </w:r>
    </w:p>
    <w:p>
      <w:pPr>
        <w:numPr>
          <w:ilvl w:val="0"/>
          <w:numId w:val="1002"/>
        </w:numPr>
      </w:pPr>
      <w:r>
        <w:rPr>
          <w:b/>
          <w:bCs/>
        </w:rPr>
        <w:t xml:space="preserve">Making</w:t>
      </w:r>
      <w:r>
        <w:rPr>
          <w:b/>
          <w:bCs/>
        </w:rPr>
        <w:t xml:space="preserve"> </w:t>
      </w:r>
      <w:r>
        <w:rPr>
          <w:b/>
          <w:bCs/>
        </w:rPr>
        <w:t xml:space="preserve">“end of the earth”</w:t>
      </w:r>
      <w:r>
        <w:rPr>
          <w:b/>
          <w:bCs/>
        </w:rPr>
        <w:t xml:space="preserve"> </w:t>
      </w:r>
      <w:r>
        <w:rPr>
          <w:b/>
          <w:bCs/>
        </w:rPr>
        <w:t xml:space="preserve">picturesque rather than existential.</w:t>
      </w:r>
      <w:r>
        <w:t xml:space="preserve"> </w:t>
      </w:r>
      <w:r>
        <w:t xml:space="preserve">The phrase is sometimes treated as geographical color (</w:t>
      </w:r>
      <w:r>
        <w:t xml:space="preserve">“David was in exile, far from Jerusalem”</w:t>
      </w:r>
      <w:r>
        <w:t xml:space="preserve">). While the historical context is real, the preaching value lies in its existential force: this is the language of feeling utterly cut off, beyond reach, past the point of normal function. The congregation member who feels spiritually numb, relationally isolated, or emotionally collapsed needs to hear that</w:t>
      </w:r>
      <w:r>
        <w:t xml:space="preserve"> </w:t>
      </w:r>
      <w:r>
        <w:t xml:space="preserve">“end of the earth”</w:t>
      </w:r>
      <w:r>
        <w:t xml:space="preserve"> </w:t>
      </w:r>
      <w:r>
        <w:t xml:space="preserve">is their address too — and that the psalm was written there.</w:t>
      </w:r>
    </w:p>
    <w:p>
      <w:pPr>
        <w:numPr>
          <w:ilvl w:val="0"/>
          <w:numId w:val="1002"/>
        </w:numPr>
      </w:pPr>
      <w:r>
        <w:rPr>
          <w:b/>
          <w:bCs/>
        </w:rPr>
        <w:t xml:space="preserve">Collapsing the distinction between Content and Intent.</w:t>
      </w:r>
      <w:r>
        <w:t xml:space="preserve"> </w:t>
      </w:r>
      <w:r>
        <w:t xml:space="preserve">A Psalm 61 sermon that teaches</w:t>
      </w:r>
      <w:r>
        <w:t xml:space="preserve"> </w:t>
      </w:r>
      <w:r>
        <w:rPr>
          <w:i/>
          <w:iCs/>
        </w:rPr>
        <w:t xml:space="preserve">about</w:t>
      </w:r>
      <w:r>
        <w:t xml:space="preserve"> </w:t>
      </w:r>
      <w:r>
        <w:t xml:space="preserve">refuge without creating the experience of running to refuge has fulfilled the content obligation and missed the intent entirely. The psalm is structured to move the reader — from the cry of verse 1, through the covenant memory of verse 3, to the confidence of verse 5, to the vow of verse 8. A sermon that explains this movement without enacting it has described a journey without taking the congregation anywhere. The preacher must preach</w:t>
      </w:r>
      <w:r>
        <w:t xml:space="preserve"> </w:t>
      </w:r>
      <w:r>
        <w:rPr>
          <w:i/>
          <w:iCs/>
        </w:rPr>
        <w:t xml:space="preserve">toward</w:t>
      </w:r>
      <w:r>
        <w:t xml:space="preserve"> </w:t>
      </w:r>
      <w:r>
        <w:t xml:space="preserve">the vow, not merely</w:t>
      </w:r>
      <w:r>
        <w:t xml:space="preserve"> </w:t>
      </w:r>
      <w:r>
        <w:rPr>
          <w:i/>
          <w:iCs/>
        </w:rPr>
        <w:t xml:space="preserve">about</w:t>
      </w:r>
      <w:r>
        <w:t xml:space="preserve"> </w:t>
      </w:r>
      <w:r>
        <w:t xml:space="preserve">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2026-07-14T21:04:52Z</dcterms:created>
  <dcterms:modified xsi:type="dcterms:W3CDTF">2026-07-14T21:04:52Z</dcterms:modified>
</cp:coreProperties>
</file>

<file path=docProps/custom.xml><?xml version="1.0" encoding="utf-8"?>
<Properties xmlns="http://schemas.openxmlformats.org/officeDocument/2006/custom-properties" xmlns:vt="http://schemas.openxmlformats.org/officeDocument/2006/docPropsVTypes"/>
</file>